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EE08E" w14:textId="406CD87F" w:rsidR="00B26824" w:rsidRDefault="00B26824" w:rsidP="008D2349">
      <w:pPr>
        <w:snapToGrid w:val="0"/>
        <w:spacing w:afterLines="100" w:after="312"/>
        <w:jc w:val="center"/>
        <w:rPr>
          <w:rFonts w:eastAsia="仿宋_GB2312"/>
          <w:b/>
          <w:sz w:val="30"/>
          <w:szCs w:val="30"/>
        </w:rPr>
      </w:pPr>
      <w:r w:rsidRPr="00596348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596348">
        <w:rPr>
          <w:rFonts w:eastAsia="仿宋_GB2312" w:hint="eastAsia"/>
          <w:b/>
          <w:sz w:val="30"/>
          <w:szCs w:val="30"/>
        </w:rPr>
        <w:t>研究所因公出访</w:t>
      </w:r>
      <w:r w:rsidR="008D2349">
        <w:rPr>
          <w:rFonts w:eastAsia="仿宋_GB2312" w:hint="eastAsia"/>
          <w:b/>
          <w:sz w:val="30"/>
          <w:szCs w:val="30"/>
        </w:rPr>
        <w:t>事前公示表</w:t>
      </w:r>
      <w:r w:rsidR="008D2349">
        <w:rPr>
          <w:rFonts w:eastAsia="仿宋_GB2312" w:hint="eastAsia"/>
          <w:b/>
          <w:sz w:val="30"/>
          <w:szCs w:val="30"/>
        </w:rPr>
        <w:t xml:space="preserve"> </w:t>
      </w:r>
    </w:p>
    <w:p w14:paraId="3FA968D9" w14:textId="517EE155" w:rsidR="002208DC" w:rsidRPr="008D2349" w:rsidRDefault="008D2349" w:rsidP="008D2349">
      <w:pPr>
        <w:snapToGrid w:val="0"/>
        <w:spacing w:afterLines="100" w:after="312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 w:rsidR="00DC7733">
        <w:rPr>
          <w:rFonts w:eastAsia="仿宋_GB2312" w:hint="eastAsia"/>
          <w:b/>
          <w:sz w:val="30"/>
          <w:szCs w:val="30"/>
        </w:rPr>
        <w:t>11</w:t>
      </w:r>
      <w:r w:rsidR="00DC7733">
        <w:rPr>
          <w:rFonts w:eastAsia="仿宋_GB2312" w:hint="eastAsia"/>
          <w:b/>
          <w:sz w:val="30"/>
          <w:szCs w:val="30"/>
        </w:rPr>
        <w:t>月</w:t>
      </w:r>
      <w:r w:rsidR="00DC7733">
        <w:rPr>
          <w:rFonts w:eastAsia="仿宋_GB2312" w:hint="eastAsia"/>
          <w:b/>
          <w:sz w:val="30"/>
          <w:szCs w:val="30"/>
        </w:rPr>
        <w:t>19</w:t>
      </w:r>
      <w:r w:rsidR="00DC7733">
        <w:rPr>
          <w:rFonts w:eastAsia="仿宋_GB2312" w:hint="eastAsia"/>
          <w:b/>
          <w:sz w:val="30"/>
          <w:szCs w:val="30"/>
        </w:rPr>
        <w:t>日</w:t>
      </w:r>
      <w:r w:rsidR="00DC7733">
        <w:rPr>
          <w:rFonts w:eastAsia="仿宋_GB2312" w:hint="eastAsia"/>
          <w:b/>
          <w:sz w:val="30"/>
          <w:szCs w:val="30"/>
        </w:rPr>
        <w:t>-25</w:t>
      </w:r>
      <w:r w:rsidR="00DC7733">
        <w:rPr>
          <w:rFonts w:eastAsia="仿宋_GB2312" w:hint="eastAsia"/>
          <w:b/>
          <w:sz w:val="30"/>
          <w:szCs w:val="30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3"/>
        <w:gridCol w:w="1873"/>
        <w:gridCol w:w="363"/>
        <w:gridCol w:w="1098"/>
        <w:gridCol w:w="1080"/>
        <w:gridCol w:w="90"/>
        <w:gridCol w:w="992"/>
        <w:gridCol w:w="1069"/>
        <w:gridCol w:w="13"/>
        <w:gridCol w:w="1019"/>
        <w:gridCol w:w="1530"/>
      </w:tblGrid>
      <w:tr w:rsidR="00596348" w:rsidRPr="00596348" w14:paraId="5D93F851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61282EB0" w14:textId="240B841D" w:rsidR="00D324CC" w:rsidRPr="00596348" w:rsidRDefault="00D324CC" w:rsidP="00937996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FE60FF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  <w:r w:rsidR="00E06EE2">
              <w:rPr>
                <w:rFonts w:ascii="仿宋" w:eastAsia="仿宋" w:hAnsi="仿宋" w:hint="eastAsia"/>
                <w:sz w:val="24"/>
              </w:rPr>
              <w:t>参加</w:t>
            </w:r>
            <w:proofErr w:type="gramStart"/>
            <w:r w:rsidR="00E06EE2">
              <w:rPr>
                <w:rFonts w:ascii="仿宋" w:eastAsia="仿宋" w:hAnsi="仿宋" w:hint="eastAsia"/>
                <w:sz w:val="24"/>
              </w:rPr>
              <w:t>光驰公司</w:t>
            </w:r>
            <w:proofErr w:type="gramEnd"/>
            <w:r w:rsidR="00E06EE2">
              <w:rPr>
                <w:rFonts w:ascii="仿宋" w:eastAsia="仿宋" w:hAnsi="仿宋" w:hint="eastAsia"/>
                <w:sz w:val="24"/>
              </w:rPr>
              <w:t>技术交流</w:t>
            </w:r>
            <w:r w:rsidR="00690FBF">
              <w:rPr>
                <w:rFonts w:ascii="仿宋" w:eastAsia="仿宋" w:hAnsi="仿宋" w:hint="eastAsia"/>
                <w:sz w:val="24"/>
              </w:rPr>
              <w:t>与</w:t>
            </w:r>
            <w:r w:rsidR="00E06EE2">
              <w:rPr>
                <w:rFonts w:ascii="仿宋" w:eastAsia="仿宋" w:hAnsi="仿宋" w:hint="eastAsia"/>
                <w:sz w:val="24"/>
              </w:rPr>
              <w:t>培训</w:t>
            </w:r>
          </w:p>
        </w:tc>
      </w:tr>
      <w:tr w:rsidR="00596348" w:rsidRPr="00596348" w14:paraId="6AD5E2A7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10AA283A" w14:textId="63CFBA5B" w:rsidR="002208DC" w:rsidRPr="00596348" w:rsidRDefault="002208DC" w:rsidP="008E5F8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  <w:r w:rsidR="008E5F88" w:rsidRPr="0059634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596348" w:rsidRPr="00596348" w14:paraId="54448811" w14:textId="77777777" w:rsidTr="00DC7733">
        <w:trPr>
          <w:trHeight w:val="397"/>
        </w:trPr>
        <w:tc>
          <w:tcPr>
            <w:tcW w:w="1520" w:type="pct"/>
            <w:gridSpan w:val="2"/>
            <w:vAlign w:val="center"/>
          </w:tcPr>
          <w:p w14:paraId="2A65199B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51" w:type="pct"/>
            <w:gridSpan w:val="6"/>
            <w:vAlign w:val="center"/>
          </w:tcPr>
          <w:p w14:paraId="03940962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228" w:type="pct"/>
            <w:gridSpan w:val="3"/>
            <w:vAlign w:val="center"/>
          </w:tcPr>
          <w:p w14:paraId="61389F4F" w14:textId="592FD63A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  <w:r w:rsidR="00811504">
              <w:rPr>
                <w:rFonts w:ascii="仿宋" w:eastAsia="仿宋" w:hAnsi="仿宋" w:hint="eastAsia"/>
                <w:sz w:val="24"/>
              </w:rPr>
              <w:t>职称</w:t>
            </w:r>
          </w:p>
        </w:tc>
      </w:tr>
      <w:tr w:rsidR="0096753D" w:rsidRPr="00596348" w14:paraId="0444F01F" w14:textId="77777777" w:rsidTr="00DC7733">
        <w:trPr>
          <w:trHeight w:val="397"/>
        </w:trPr>
        <w:tc>
          <w:tcPr>
            <w:tcW w:w="1520" w:type="pct"/>
            <w:gridSpan w:val="2"/>
            <w:vAlign w:val="center"/>
          </w:tcPr>
          <w:p w14:paraId="19B4CDE7" w14:textId="4A3F87E2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王晋峰</w:t>
            </w:r>
          </w:p>
        </w:tc>
        <w:tc>
          <w:tcPr>
            <w:tcW w:w="2251" w:type="pct"/>
            <w:gridSpan w:val="6"/>
            <w:vAlign w:val="center"/>
          </w:tcPr>
          <w:p w14:paraId="484BC6D3" w14:textId="151638B6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天文与空间镜面技术研究室</w:t>
            </w:r>
          </w:p>
        </w:tc>
        <w:tc>
          <w:tcPr>
            <w:tcW w:w="1228" w:type="pct"/>
            <w:gridSpan w:val="3"/>
            <w:vAlign w:val="center"/>
          </w:tcPr>
          <w:p w14:paraId="1E177089" w14:textId="5D7BB1DE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811504" w:rsidRPr="00596348" w14:paraId="560286E4" w14:textId="77777777" w:rsidTr="00DC7733">
        <w:trPr>
          <w:trHeight w:val="397"/>
        </w:trPr>
        <w:tc>
          <w:tcPr>
            <w:tcW w:w="1520" w:type="pct"/>
            <w:gridSpan w:val="2"/>
            <w:vAlign w:val="center"/>
          </w:tcPr>
          <w:p w14:paraId="4D9EFEB6" w14:textId="2A55E33F" w:rsidR="00811504" w:rsidRDefault="00FE60FF" w:rsidP="002208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田杰</w:t>
            </w:r>
            <w:proofErr w:type="gramEnd"/>
          </w:p>
        </w:tc>
        <w:tc>
          <w:tcPr>
            <w:tcW w:w="2251" w:type="pct"/>
            <w:gridSpan w:val="6"/>
            <w:vAlign w:val="center"/>
          </w:tcPr>
          <w:p w14:paraId="679E60B6" w14:textId="67EB5887" w:rsidR="00811504" w:rsidRDefault="00FE60FF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天文与空间镜面技术研究室</w:t>
            </w:r>
          </w:p>
        </w:tc>
        <w:tc>
          <w:tcPr>
            <w:tcW w:w="1228" w:type="pct"/>
            <w:gridSpan w:val="3"/>
            <w:vAlign w:val="center"/>
          </w:tcPr>
          <w:p w14:paraId="41F102BB" w14:textId="02B58DB2" w:rsidR="00811504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596348" w:rsidRPr="00596348" w14:paraId="2B96E344" w14:textId="77777777" w:rsidTr="00DC7733">
        <w:trPr>
          <w:trHeight w:val="397"/>
        </w:trPr>
        <w:tc>
          <w:tcPr>
            <w:tcW w:w="621" w:type="pct"/>
            <w:vAlign w:val="center"/>
          </w:tcPr>
          <w:p w14:paraId="3326EBF8" w14:textId="7D4A0354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2161" w:type="pct"/>
            <w:gridSpan w:val="5"/>
            <w:vAlign w:val="center"/>
          </w:tcPr>
          <w:p w14:paraId="773745C8" w14:textId="201D55FF" w:rsidR="008A00C4" w:rsidRPr="00596348" w:rsidRDefault="00682162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日本</w:t>
            </w:r>
          </w:p>
        </w:tc>
        <w:tc>
          <w:tcPr>
            <w:tcW w:w="989" w:type="pct"/>
            <w:gridSpan w:val="2"/>
            <w:vAlign w:val="center"/>
          </w:tcPr>
          <w:p w14:paraId="1E7D0ECE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228" w:type="pct"/>
            <w:gridSpan w:val="3"/>
            <w:vAlign w:val="center"/>
          </w:tcPr>
          <w:p w14:paraId="3EADC622" w14:textId="6E5BC986" w:rsidR="008A00C4" w:rsidRPr="00596348" w:rsidRDefault="00682162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596348" w:rsidRPr="00596348" w14:paraId="6F5C3588" w14:textId="77777777" w:rsidTr="00DC7733">
        <w:trPr>
          <w:trHeight w:val="397"/>
        </w:trPr>
        <w:tc>
          <w:tcPr>
            <w:tcW w:w="621" w:type="pct"/>
            <w:vAlign w:val="center"/>
          </w:tcPr>
          <w:p w14:paraId="5699642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2161" w:type="pct"/>
            <w:gridSpan w:val="5"/>
            <w:vAlign w:val="center"/>
          </w:tcPr>
          <w:p w14:paraId="55A4B5DD" w14:textId="4770E170" w:rsidR="008A00C4" w:rsidRPr="00596348" w:rsidRDefault="00682162" w:rsidP="0081150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024.</w:t>
            </w:r>
            <w:r w:rsidR="00FE60FF">
              <w:rPr>
                <w:rFonts w:ascii="仿宋" w:eastAsia="仿宋" w:hAnsi="仿宋" w:hint="eastAsia"/>
                <w:sz w:val="24"/>
              </w:rPr>
              <w:t>12</w:t>
            </w:r>
            <w:r w:rsidR="00811504">
              <w:rPr>
                <w:rFonts w:ascii="仿宋" w:eastAsia="仿宋" w:hAnsi="仿宋"/>
                <w:sz w:val="24"/>
              </w:rPr>
              <w:t>.</w:t>
            </w:r>
            <w:r w:rsidR="00FE60FF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989" w:type="pct"/>
            <w:gridSpan w:val="2"/>
            <w:vAlign w:val="center"/>
          </w:tcPr>
          <w:p w14:paraId="2AE1BCD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228" w:type="pct"/>
            <w:gridSpan w:val="3"/>
            <w:vAlign w:val="center"/>
          </w:tcPr>
          <w:p w14:paraId="31178BD5" w14:textId="4C44AF69" w:rsidR="008A00C4" w:rsidRPr="00596348" w:rsidRDefault="00682162" w:rsidP="0081150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024.</w:t>
            </w:r>
            <w:r w:rsidR="00FE60FF"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FE60FF">
              <w:rPr>
                <w:rFonts w:ascii="仿宋" w:eastAsia="仿宋" w:hAnsi="仿宋" w:hint="eastAsia"/>
                <w:sz w:val="24"/>
              </w:rPr>
              <w:t>29</w:t>
            </w:r>
          </w:p>
        </w:tc>
      </w:tr>
      <w:tr w:rsidR="00596348" w:rsidRPr="00596348" w14:paraId="6C06A8B1" w14:textId="77777777" w:rsidTr="00DC7733">
        <w:trPr>
          <w:trHeight w:val="397"/>
        </w:trPr>
        <w:tc>
          <w:tcPr>
            <w:tcW w:w="621" w:type="pct"/>
            <w:vAlign w:val="center"/>
          </w:tcPr>
          <w:p w14:paraId="3F7E835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379" w:type="pct"/>
            <w:gridSpan w:val="10"/>
          </w:tcPr>
          <w:p w14:paraId="7382626B" w14:textId="18570F28" w:rsidR="008A00C4" w:rsidRPr="00596348" w:rsidRDefault="00306760" w:rsidP="001B6E3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南京—东京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—川越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—东京—南京</w:t>
            </w:r>
          </w:p>
        </w:tc>
      </w:tr>
      <w:tr w:rsidR="00596348" w:rsidRPr="00596348" w14:paraId="424975D5" w14:textId="77777777" w:rsidTr="00DC7733">
        <w:trPr>
          <w:trHeight w:val="364"/>
        </w:trPr>
        <w:tc>
          <w:tcPr>
            <w:tcW w:w="621" w:type="pct"/>
            <w:vAlign w:val="center"/>
          </w:tcPr>
          <w:p w14:paraId="5682780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379" w:type="pct"/>
            <w:gridSpan w:val="10"/>
          </w:tcPr>
          <w:p w14:paraId="55D82710" w14:textId="58E35D5D" w:rsidR="00A07167" w:rsidRDefault="005516FB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bookmarkStart w:id="0" w:name="_Hlk64486283"/>
            <w:bookmarkEnd w:id="0"/>
            <w:r>
              <w:rPr>
                <w:rFonts w:ascii="仿宋" w:eastAsia="仿宋" w:hAnsi="仿宋" w:hint="eastAsia"/>
                <w:sz w:val="24"/>
              </w:rPr>
              <w:t>南京天光所购置了一台光学镀膜设备用于高精度天文滤光片的研制，</w:t>
            </w:r>
            <w:proofErr w:type="gramStart"/>
            <w:r w:rsidR="001D5F96">
              <w:rPr>
                <w:rFonts w:ascii="仿宋" w:eastAsia="仿宋" w:hAnsi="仿宋" w:hint="eastAsia"/>
                <w:sz w:val="24"/>
              </w:rPr>
              <w:t>现</w:t>
            </w:r>
            <w:r>
              <w:rPr>
                <w:rFonts w:ascii="仿宋" w:eastAsia="仿宋" w:hAnsi="仿宋" w:hint="eastAsia"/>
                <w:sz w:val="24"/>
              </w:rPr>
              <w:t>设备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处于待出厂阶段，待麒麟园区建成后入关安装。</w:t>
            </w:r>
            <w:proofErr w:type="gramStart"/>
            <w:r w:rsidR="00672E14">
              <w:rPr>
                <w:rFonts w:ascii="仿宋" w:eastAsia="仿宋" w:hAnsi="仿宋" w:hint="eastAsia"/>
                <w:sz w:val="24"/>
              </w:rPr>
              <w:t>光驰公司</w:t>
            </w:r>
            <w:proofErr w:type="gramEnd"/>
            <w:r w:rsidR="00672E14">
              <w:rPr>
                <w:rFonts w:ascii="仿宋" w:eastAsia="仿宋" w:hAnsi="仿宋" w:hint="eastAsia"/>
                <w:sz w:val="24"/>
              </w:rPr>
              <w:t>拟于2024年12月23日-12月28日期间</w:t>
            </w:r>
            <w:r w:rsidR="00E67690">
              <w:rPr>
                <w:rFonts w:ascii="仿宋" w:eastAsia="仿宋" w:hAnsi="仿宋" w:hint="eastAsia"/>
                <w:sz w:val="24"/>
              </w:rPr>
              <w:t>在新设备出厂前</w:t>
            </w:r>
            <w:r w:rsidR="00672E14">
              <w:rPr>
                <w:rFonts w:ascii="仿宋" w:eastAsia="仿宋" w:hAnsi="仿宋" w:hint="eastAsia"/>
                <w:sz w:val="24"/>
              </w:rPr>
              <w:t>开展镀膜设备技术交流与培训。王晋峰研究员和田杰受邀拟赴日本参加此次培训</w:t>
            </w:r>
            <w:r w:rsidR="00E67690">
              <w:rPr>
                <w:rFonts w:ascii="仿宋" w:eastAsia="仿宋" w:hAnsi="仿宋" w:hint="eastAsia"/>
                <w:sz w:val="24"/>
              </w:rPr>
              <w:t>交流</w:t>
            </w:r>
            <w:r w:rsidR="00672E14">
              <w:rPr>
                <w:rFonts w:ascii="仿宋" w:eastAsia="仿宋" w:hAnsi="仿宋" w:hint="eastAsia"/>
                <w:sz w:val="24"/>
              </w:rPr>
              <w:t>。</w:t>
            </w:r>
            <w:proofErr w:type="gramStart"/>
            <w:r w:rsidR="00860C85">
              <w:rPr>
                <w:rFonts w:ascii="仿宋" w:eastAsia="仿宋" w:hAnsi="仿宋" w:hint="eastAsia"/>
                <w:sz w:val="24"/>
              </w:rPr>
              <w:t>光驰公司</w:t>
            </w:r>
            <w:proofErr w:type="gramEnd"/>
            <w:r w:rsidR="00860C85">
              <w:rPr>
                <w:rFonts w:ascii="仿宋" w:eastAsia="仿宋" w:hAnsi="仿宋" w:hint="eastAsia"/>
                <w:sz w:val="24"/>
              </w:rPr>
              <w:t>将深入介绍国产设备所不具备的光控技术及射频离子源原理，</w:t>
            </w:r>
            <w:r w:rsidR="00E67690">
              <w:rPr>
                <w:rFonts w:ascii="仿宋" w:eastAsia="仿宋" w:hAnsi="仿宋" w:hint="eastAsia"/>
                <w:sz w:val="24"/>
              </w:rPr>
              <w:t>它们</w:t>
            </w:r>
            <w:r w:rsidR="00860C85">
              <w:rPr>
                <w:rFonts w:ascii="仿宋" w:eastAsia="仿宋" w:hAnsi="仿宋" w:hint="eastAsia"/>
                <w:sz w:val="24"/>
              </w:rPr>
              <w:t>是镀膜机能实现薄膜高精度控制</w:t>
            </w:r>
            <w:r w:rsidR="00BB14B8">
              <w:rPr>
                <w:rFonts w:ascii="仿宋" w:eastAsia="仿宋" w:hAnsi="仿宋" w:hint="eastAsia"/>
                <w:sz w:val="24"/>
              </w:rPr>
              <w:t>的</w:t>
            </w:r>
            <w:r w:rsidR="00860C85">
              <w:rPr>
                <w:rFonts w:ascii="仿宋" w:eastAsia="仿宋" w:hAnsi="仿宋" w:hint="eastAsia"/>
                <w:sz w:val="24"/>
              </w:rPr>
              <w:t>核心器件。</w:t>
            </w:r>
            <w:r w:rsidR="00860C85" w:rsidRPr="00860C85">
              <w:rPr>
                <w:rFonts w:ascii="仿宋" w:eastAsia="仿宋" w:hAnsi="仿宋"/>
                <w:sz w:val="24"/>
              </w:rPr>
              <w:t>光控不仅能测量光学厚度，还能反映出与薄膜折射率和吸收有关的附加信息。</w:t>
            </w:r>
            <w:r w:rsidR="00860C85">
              <w:rPr>
                <w:rFonts w:ascii="仿宋" w:eastAsia="仿宋" w:hAnsi="仿宋" w:hint="eastAsia"/>
                <w:sz w:val="24"/>
              </w:rPr>
              <w:t>对光控技术的学习有助于研制更高精度的薄膜元件。射频离子源可以获得高致密度的薄膜，对射频离子源技术的研究有助于生长高致密性薄膜，对薄膜的稳定性有着重要意义。</w:t>
            </w:r>
            <w:r w:rsidR="00DB4D56">
              <w:rPr>
                <w:rFonts w:ascii="仿宋" w:eastAsia="仿宋" w:hAnsi="仿宋" w:hint="eastAsia"/>
                <w:sz w:val="24"/>
              </w:rPr>
              <w:t>此次</w:t>
            </w:r>
            <w:r w:rsidR="00E67690">
              <w:rPr>
                <w:rFonts w:ascii="仿宋" w:eastAsia="仿宋" w:hAnsi="仿宋" w:hint="eastAsia"/>
                <w:sz w:val="24"/>
              </w:rPr>
              <w:t>出访</w:t>
            </w:r>
            <w:r w:rsidR="00DB4D56">
              <w:rPr>
                <w:rFonts w:ascii="仿宋" w:eastAsia="仿宋" w:hAnsi="仿宋" w:hint="eastAsia"/>
                <w:sz w:val="24"/>
              </w:rPr>
              <w:t>的另一个重要任务是</w:t>
            </w:r>
            <w:r w:rsidR="005156F1">
              <w:rPr>
                <w:rFonts w:ascii="仿宋" w:eastAsia="仿宋" w:hAnsi="仿宋" w:hint="eastAsia"/>
                <w:sz w:val="24"/>
              </w:rPr>
              <w:t>了解</w:t>
            </w:r>
            <w:r w:rsidR="00E67690">
              <w:rPr>
                <w:rFonts w:ascii="仿宋" w:eastAsia="仿宋" w:hAnsi="仿宋" w:hint="eastAsia"/>
                <w:sz w:val="24"/>
              </w:rPr>
              <w:t>先进镀膜设备公司</w:t>
            </w:r>
            <w:r w:rsidR="00DB4D56">
              <w:rPr>
                <w:rFonts w:ascii="仿宋" w:eastAsia="仿宋" w:hAnsi="仿宋" w:hint="eastAsia"/>
                <w:sz w:val="24"/>
              </w:rPr>
              <w:t>的</w:t>
            </w:r>
            <w:r w:rsidR="00E67690">
              <w:rPr>
                <w:rFonts w:ascii="仿宋" w:eastAsia="仿宋" w:hAnsi="仿宋" w:hint="eastAsia"/>
                <w:sz w:val="24"/>
              </w:rPr>
              <w:t>技术进展</w:t>
            </w:r>
            <w:r w:rsidR="00DB4D56">
              <w:rPr>
                <w:rFonts w:ascii="仿宋" w:eastAsia="仿宋" w:hAnsi="仿宋" w:hint="eastAsia"/>
                <w:sz w:val="24"/>
              </w:rPr>
              <w:t>，与相关专家进行交流</w:t>
            </w:r>
            <w:r w:rsidR="00E67690">
              <w:rPr>
                <w:rFonts w:ascii="仿宋" w:eastAsia="仿宋" w:hAnsi="仿宋" w:hint="eastAsia"/>
                <w:sz w:val="24"/>
              </w:rPr>
              <w:t>，了解国际上薄膜技术的研究进展及未来方向，并将这些技术应用于天文光学领域及在建、待建的大型望远镜中</w:t>
            </w:r>
            <w:r w:rsidR="00DB4D56">
              <w:rPr>
                <w:rFonts w:ascii="仿宋" w:eastAsia="仿宋" w:hAnsi="仿宋" w:hint="eastAsia"/>
                <w:sz w:val="24"/>
              </w:rPr>
              <w:t>。出访行程安排如下，出访费用研究所支付。</w:t>
            </w:r>
          </w:p>
          <w:p w14:paraId="0F04C234" w14:textId="24438A15" w:rsidR="00DB4D56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2024年</w:t>
            </w:r>
            <w:r w:rsidR="006D5377"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6D5377"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 从南京</w:t>
            </w:r>
            <w:r w:rsidR="00A5669D">
              <w:rPr>
                <w:rFonts w:ascii="仿宋" w:eastAsia="仿宋" w:hAnsi="仿宋" w:hint="eastAsia"/>
                <w:sz w:val="24"/>
              </w:rPr>
              <w:t>出发</w:t>
            </w:r>
            <w:r>
              <w:rPr>
                <w:rFonts w:ascii="仿宋" w:eastAsia="仿宋" w:hAnsi="仿宋" w:hint="eastAsia"/>
                <w:sz w:val="24"/>
              </w:rPr>
              <w:t>到日本东京</w:t>
            </w:r>
          </w:p>
          <w:p w14:paraId="32F7C27F" w14:textId="3DAA7677" w:rsidR="005516FB" w:rsidRDefault="005516FB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2024年12月23日 从东京出发至</w:t>
            </w:r>
            <w:r w:rsidR="009A6DC7">
              <w:rPr>
                <w:rFonts w:ascii="仿宋" w:eastAsia="仿宋" w:hAnsi="仿宋" w:hint="eastAsia"/>
                <w:sz w:val="24"/>
              </w:rPr>
              <w:t>川越参加新设备工厂见学活动，当晚返回东京</w:t>
            </w:r>
          </w:p>
          <w:p w14:paraId="5AD07794" w14:textId="1C6415B0" w:rsidR="00DB4D56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</w:t>
            </w:r>
            <w:r w:rsidR="006D5377"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6D5377">
              <w:rPr>
                <w:rFonts w:ascii="仿宋" w:eastAsia="仿宋" w:hAnsi="仿宋" w:hint="eastAsia"/>
                <w:sz w:val="24"/>
              </w:rPr>
              <w:t>2</w:t>
            </w:r>
            <w:r w:rsidR="005516FB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日-</w:t>
            </w:r>
            <w:r w:rsidR="006D5377">
              <w:rPr>
                <w:rFonts w:ascii="仿宋" w:eastAsia="仿宋" w:hAnsi="仿宋" w:hint="eastAsia"/>
                <w:sz w:val="24"/>
              </w:rPr>
              <w:t>28</w:t>
            </w:r>
            <w:r>
              <w:rPr>
                <w:rFonts w:ascii="仿宋" w:eastAsia="仿宋" w:hAnsi="仿宋" w:hint="eastAsia"/>
                <w:sz w:val="24"/>
              </w:rPr>
              <w:t>日 在</w:t>
            </w:r>
            <w:r w:rsidR="006D5377">
              <w:rPr>
                <w:rFonts w:ascii="仿宋" w:eastAsia="仿宋" w:hAnsi="仿宋" w:hint="eastAsia"/>
                <w:sz w:val="24"/>
              </w:rPr>
              <w:t>东京进行培训及技术交流</w:t>
            </w:r>
          </w:p>
          <w:p w14:paraId="66436368" w14:textId="6BB389D1" w:rsidR="00DB4D56" w:rsidRPr="001B6E3E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</w:t>
            </w:r>
            <w:r w:rsidR="006D5377"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6D5377">
              <w:rPr>
                <w:rFonts w:ascii="仿宋" w:eastAsia="仿宋" w:hAnsi="仿宋" w:hint="eastAsia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日从东京返回南京</w:t>
            </w:r>
            <w:bookmarkEnd w:id="1"/>
            <w:bookmarkEnd w:id="2"/>
          </w:p>
        </w:tc>
      </w:tr>
      <w:tr w:rsidR="00596348" w:rsidRPr="00596348" w14:paraId="1375D76A" w14:textId="77777777" w:rsidTr="00DC7733">
        <w:trPr>
          <w:trHeight w:val="180"/>
        </w:trPr>
        <w:tc>
          <w:tcPr>
            <w:tcW w:w="621" w:type="pct"/>
            <w:vMerge w:val="restart"/>
            <w:vAlign w:val="center"/>
          </w:tcPr>
          <w:p w14:paraId="173A392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14:paraId="2FB07A85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  <w:u w:val="single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306" w:type="pct"/>
            <w:gridSpan w:val="8"/>
            <w:vAlign w:val="center"/>
          </w:tcPr>
          <w:p w14:paraId="20590DDF" w14:textId="339ABF11" w:rsidR="008A00C4" w:rsidRPr="00596348" w:rsidRDefault="008A00C4" w:rsidP="001B6E3E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="00FE60FF">
              <w:rPr>
                <w:rFonts w:ascii="仿宋" w:eastAsia="仿宋" w:hAnsi="仿宋" w:hint="eastAsia"/>
                <w:sz w:val="24"/>
              </w:rPr>
              <w:t>LAMOST望远镜镀膜合同整合课题</w:t>
            </w:r>
          </w:p>
        </w:tc>
      </w:tr>
      <w:tr w:rsidR="00596348" w:rsidRPr="00596348" w14:paraId="4CBBAF61" w14:textId="77777777" w:rsidTr="00DC7733">
        <w:trPr>
          <w:trHeight w:val="180"/>
        </w:trPr>
        <w:tc>
          <w:tcPr>
            <w:tcW w:w="621" w:type="pct"/>
            <w:vMerge/>
            <w:vAlign w:val="center"/>
          </w:tcPr>
          <w:p w14:paraId="2AD5C837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14:paraId="666E9D20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06" w:type="pct"/>
            <w:gridSpan w:val="8"/>
            <w:vAlign w:val="center"/>
          </w:tcPr>
          <w:p w14:paraId="3C8EC8D7" w14:textId="665B83A8" w:rsidR="008A00C4" w:rsidRPr="00596348" w:rsidRDefault="008A00C4" w:rsidP="001B6E3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课题编号：</w:t>
            </w:r>
            <w:r w:rsidR="00FE60FF" w:rsidRPr="00C53E82">
              <w:rPr>
                <w:rFonts w:ascii="仿宋" w:eastAsia="仿宋" w:hAnsi="仿宋"/>
                <w:sz w:val="24"/>
              </w:rPr>
              <w:t xml:space="preserve"> </w:t>
            </w:r>
            <w:r w:rsidR="00C53E82" w:rsidRPr="00C53E82">
              <w:rPr>
                <w:rFonts w:ascii="仿宋" w:eastAsia="仿宋" w:hAnsi="仿宋"/>
                <w:sz w:val="24"/>
              </w:rPr>
              <w:t>C286</w:t>
            </w:r>
          </w:p>
        </w:tc>
      </w:tr>
      <w:tr w:rsidR="00596348" w:rsidRPr="00596348" w14:paraId="488AC0BD" w14:textId="77777777" w:rsidTr="00DC7733">
        <w:trPr>
          <w:trHeight w:val="267"/>
        </w:trPr>
        <w:tc>
          <w:tcPr>
            <w:tcW w:w="621" w:type="pct"/>
            <w:vMerge/>
            <w:vAlign w:val="center"/>
          </w:tcPr>
          <w:p w14:paraId="5743FCD2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9" w:type="pct"/>
            <w:gridSpan w:val="10"/>
            <w:vAlign w:val="center"/>
          </w:tcPr>
          <w:p w14:paraId="6646E34C" w14:textId="319A48A1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596348" w:rsidRPr="00596348" w14:paraId="5988FB19" w14:textId="77777777" w:rsidTr="00DC7733">
        <w:trPr>
          <w:trHeight w:val="267"/>
        </w:trPr>
        <w:tc>
          <w:tcPr>
            <w:tcW w:w="621" w:type="pct"/>
            <w:vMerge/>
            <w:vAlign w:val="center"/>
          </w:tcPr>
          <w:p w14:paraId="0E10DC3E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9" w:type="pct"/>
            <w:gridSpan w:val="10"/>
            <w:vAlign w:val="center"/>
          </w:tcPr>
          <w:p w14:paraId="37DDF83D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596348" w:rsidRPr="00596348" w14:paraId="310630F5" w14:textId="77777777" w:rsidTr="00DC7733">
        <w:trPr>
          <w:trHeight w:val="644"/>
        </w:trPr>
        <w:tc>
          <w:tcPr>
            <w:tcW w:w="621" w:type="pct"/>
            <w:vMerge/>
            <w:vAlign w:val="center"/>
          </w:tcPr>
          <w:p w14:paraId="7715DE19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9" w:type="pct"/>
            <w:gridSpan w:val="10"/>
            <w:vAlign w:val="center"/>
          </w:tcPr>
          <w:p w14:paraId="1CF65421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FE60FF" w:rsidRPr="00596348" w14:paraId="173E8537" w14:textId="77777777" w:rsidTr="00DC7733">
        <w:trPr>
          <w:trHeight w:val="460"/>
        </w:trPr>
        <w:tc>
          <w:tcPr>
            <w:tcW w:w="621" w:type="pct"/>
            <w:vMerge w:val="restart"/>
            <w:vAlign w:val="center"/>
          </w:tcPr>
          <w:p w14:paraId="5590FEF8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1073" w:type="pct"/>
            <w:gridSpan w:val="2"/>
            <w:tcBorders>
              <w:right w:val="single" w:sz="4" w:space="0" w:color="auto"/>
            </w:tcBorders>
            <w:vAlign w:val="center"/>
          </w:tcPr>
          <w:p w14:paraId="3692536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2695573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18" w:type="pct"/>
            <w:tcBorders>
              <w:right w:val="single" w:sz="8" w:space="0" w:color="auto"/>
            </w:tcBorders>
            <w:vAlign w:val="center"/>
          </w:tcPr>
          <w:p w14:paraId="4A3F2AC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19" w:type="pct"/>
            <w:gridSpan w:val="2"/>
            <w:tcBorders>
              <w:left w:val="single" w:sz="8" w:space="0" w:color="auto"/>
            </w:tcBorders>
            <w:vAlign w:val="center"/>
          </w:tcPr>
          <w:p w14:paraId="7457DED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19" w:type="pct"/>
            <w:gridSpan w:val="2"/>
            <w:vAlign w:val="center"/>
          </w:tcPr>
          <w:p w14:paraId="6A0BD44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489" w:type="pct"/>
            <w:tcBorders>
              <w:right w:val="single" w:sz="8" w:space="0" w:color="auto"/>
            </w:tcBorders>
            <w:vAlign w:val="center"/>
          </w:tcPr>
          <w:p w14:paraId="62DCD98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733" w:type="pct"/>
            <w:tcBorders>
              <w:left w:val="single" w:sz="8" w:space="0" w:color="auto"/>
            </w:tcBorders>
            <w:vAlign w:val="center"/>
          </w:tcPr>
          <w:p w14:paraId="4D92E3E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FE60FF" w:rsidRPr="00596348" w14:paraId="20EE1B9A" w14:textId="77777777" w:rsidTr="00DC7733">
        <w:trPr>
          <w:trHeight w:val="460"/>
        </w:trPr>
        <w:tc>
          <w:tcPr>
            <w:tcW w:w="621" w:type="pct"/>
            <w:vMerge/>
            <w:vAlign w:val="center"/>
          </w:tcPr>
          <w:p w14:paraId="5489567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3" w:type="pct"/>
            <w:gridSpan w:val="2"/>
            <w:tcBorders>
              <w:right w:val="single" w:sz="4" w:space="0" w:color="auto"/>
            </w:tcBorders>
            <w:vAlign w:val="center"/>
          </w:tcPr>
          <w:p w14:paraId="18C62037" w14:textId="33AE005C" w:rsidR="008A00C4" w:rsidRPr="00596348" w:rsidRDefault="00FE60FF" w:rsidP="009F11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  <w:r w:rsidR="00AE6C89">
              <w:rPr>
                <w:rFonts w:ascii="仿宋" w:eastAsia="仿宋" w:hAnsi="仿宋" w:hint="eastAsia"/>
                <w:sz w:val="24"/>
              </w:rPr>
              <w:t>554.77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6D658C8B" w14:textId="3ADC0B48" w:rsidR="008A00C4" w:rsidRPr="00596348" w:rsidRDefault="00FE60FF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30000</w:t>
            </w:r>
          </w:p>
        </w:tc>
        <w:tc>
          <w:tcPr>
            <w:tcW w:w="518" w:type="pct"/>
            <w:tcBorders>
              <w:right w:val="single" w:sz="8" w:space="0" w:color="auto"/>
            </w:tcBorders>
            <w:vAlign w:val="center"/>
          </w:tcPr>
          <w:p w14:paraId="6BCD9606" w14:textId="23F7B49A" w:rsidR="008A00C4" w:rsidRPr="00596348" w:rsidRDefault="00FE60FF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13120.9</w:t>
            </w:r>
          </w:p>
        </w:tc>
        <w:tc>
          <w:tcPr>
            <w:tcW w:w="519" w:type="pct"/>
            <w:gridSpan w:val="2"/>
            <w:tcBorders>
              <w:left w:val="single" w:sz="8" w:space="0" w:color="auto"/>
            </w:tcBorders>
            <w:vAlign w:val="center"/>
          </w:tcPr>
          <w:p w14:paraId="490142D0" w14:textId="511DAEAA" w:rsidR="008A00C4" w:rsidRPr="00596348" w:rsidRDefault="00FE60FF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7497.65</w:t>
            </w:r>
          </w:p>
        </w:tc>
        <w:tc>
          <w:tcPr>
            <w:tcW w:w="519" w:type="pct"/>
            <w:gridSpan w:val="2"/>
            <w:vAlign w:val="center"/>
          </w:tcPr>
          <w:p w14:paraId="506D0F49" w14:textId="243713EB" w:rsidR="008A00C4" w:rsidRPr="00596348" w:rsidRDefault="00FE60FF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3748.82</w:t>
            </w:r>
          </w:p>
        </w:tc>
        <w:tc>
          <w:tcPr>
            <w:tcW w:w="489" w:type="pct"/>
            <w:tcBorders>
              <w:right w:val="single" w:sz="8" w:space="0" w:color="auto"/>
            </w:tcBorders>
            <w:vAlign w:val="center"/>
          </w:tcPr>
          <w:p w14:paraId="02F048AD" w14:textId="7DF62A62" w:rsidR="008A00C4" w:rsidRPr="00596348" w:rsidRDefault="00AE6C89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187.4</w:t>
            </w:r>
          </w:p>
        </w:tc>
        <w:tc>
          <w:tcPr>
            <w:tcW w:w="733" w:type="pct"/>
            <w:tcBorders>
              <w:left w:val="single" w:sz="8" w:space="0" w:color="auto"/>
            </w:tcBorders>
            <w:vAlign w:val="center"/>
          </w:tcPr>
          <w:p w14:paraId="5720D090" w14:textId="5EA73DE2" w:rsidR="008A00C4" w:rsidRPr="00596348" w:rsidRDefault="00FE60FF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</w:t>
            </w:r>
          </w:p>
        </w:tc>
      </w:tr>
      <w:tr w:rsidR="00596348" w:rsidRPr="00596348" w14:paraId="061EC67D" w14:textId="77777777" w:rsidTr="00DC7733">
        <w:trPr>
          <w:trHeight w:val="460"/>
        </w:trPr>
        <w:tc>
          <w:tcPr>
            <w:tcW w:w="621" w:type="pct"/>
            <w:vMerge/>
            <w:vAlign w:val="center"/>
          </w:tcPr>
          <w:p w14:paraId="69A5B40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9" w:type="pct"/>
            <w:gridSpan w:val="10"/>
            <w:vAlign w:val="center"/>
          </w:tcPr>
          <w:p w14:paraId="14F7EBD3" w14:textId="354AF58E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96348" w:rsidRPr="00596348" w14:paraId="2550C309" w14:textId="77777777" w:rsidTr="00DC7733">
        <w:trPr>
          <w:trHeight w:val="460"/>
        </w:trPr>
        <w:tc>
          <w:tcPr>
            <w:tcW w:w="621" w:type="pct"/>
            <w:vMerge/>
            <w:vAlign w:val="center"/>
          </w:tcPr>
          <w:p w14:paraId="65B14BC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9" w:type="pct"/>
            <w:gridSpan w:val="10"/>
            <w:vAlign w:val="center"/>
          </w:tcPr>
          <w:p w14:paraId="1202A1CE" w14:textId="4C7E9D6F" w:rsidR="00DB79B3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5609D4DC" w14:textId="00E66FEA" w:rsidR="00FE60FF" w:rsidRDefault="00FE60FF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人民币兑日元汇率按21.34计算。</w:t>
            </w:r>
          </w:p>
          <w:p w14:paraId="0FACD5E0" w14:textId="1BA3E38D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住宿费：</w:t>
            </w:r>
            <w:r w:rsidR="00FE60FF">
              <w:rPr>
                <w:rFonts w:ascii="仿宋" w:eastAsia="仿宋" w:hAnsi="仿宋" w:hint="eastAsia"/>
                <w:sz w:val="24"/>
              </w:rPr>
              <w:t>20000</w:t>
            </w:r>
            <w:r>
              <w:rPr>
                <w:rFonts w:ascii="仿宋" w:eastAsia="仿宋" w:hAnsi="仿宋" w:hint="eastAsia"/>
                <w:sz w:val="24"/>
              </w:rPr>
              <w:t>日元/人/天，7天计算</w:t>
            </w:r>
          </w:p>
          <w:p w14:paraId="1368D4AD" w14:textId="77777777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伙食费：10000</w:t>
            </w:r>
            <w:r w:rsidRPr="004E7B27">
              <w:rPr>
                <w:rFonts w:ascii="仿宋" w:eastAsia="仿宋" w:hAnsi="仿宋" w:hint="eastAsia"/>
                <w:sz w:val="24"/>
              </w:rPr>
              <w:t>日元/人/天</w:t>
            </w:r>
            <w:r>
              <w:rPr>
                <w:rFonts w:ascii="仿宋" w:eastAsia="仿宋" w:hAnsi="仿宋" w:hint="eastAsia"/>
                <w:sz w:val="24"/>
              </w:rPr>
              <w:t>，8天计算</w:t>
            </w:r>
          </w:p>
          <w:p w14:paraId="13BD3464" w14:textId="4C09B14E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公杂费：5000</w:t>
            </w:r>
            <w:r w:rsidRPr="004E7B27">
              <w:rPr>
                <w:rFonts w:ascii="仿宋" w:eastAsia="仿宋" w:hAnsi="仿宋" w:hint="eastAsia"/>
                <w:sz w:val="24"/>
              </w:rPr>
              <w:t>日元/人/天，8天计算</w:t>
            </w:r>
          </w:p>
          <w:p w14:paraId="09D93973" w14:textId="4D8CC22D" w:rsidR="00AE6C89" w:rsidRDefault="00AE6C89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城市间交通费：东京-川越往返，2000/人，共4000日元，合人民币187.4</w:t>
            </w:r>
          </w:p>
          <w:p w14:paraId="5DB5DF9F" w14:textId="0A493E16" w:rsidR="004E7B27" w:rsidRPr="00596348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其他费用：签证费410元/人，</w:t>
            </w:r>
            <w:r w:rsidR="00FE60FF">
              <w:rPr>
                <w:rFonts w:ascii="仿宋" w:eastAsia="仿宋" w:hAnsi="仿宋" w:hint="eastAsia"/>
                <w:sz w:val="24"/>
              </w:rPr>
              <w:t>必须的保险90元/人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596348" w:rsidRPr="00596348" w14:paraId="0CFC107E" w14:textId="77777777" w:rsidTr="00CB1485">
        <w:trPr>
          <w:trHeight w:val="1114"/>
        </w:trPr>
        <w:tc>
          <w:tcPr>
            <w:tcW w:w="5000" w:type="pct"/>
            <w:gridSpan w:val="11"/>
          </w:tcPr>
          <w:p w14:paraId="2656F5CE" w14:textId="0A060C2B" w:rsidR="008A00C4" w:rsidRDefault="008A00C4" w:rsidP="008A00C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5D5ABAF6" w14:textId="77777777" w:rsidR="00F67C18" w:rsidRDefault="00F67C18" w:rsidP="00F67C1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proofErr w:type="gramStart"/>
            <w:r w:rsidRPr="00F67C18">
              <w:rPr>
                <w:rFonts w:ascii="仿宋" w:eastAsia="仿宋" w:hAnsi="仿宋"/>
                <w:sz w:val="24"/>
              </w:rPr>
              <w:t>株式会社光驰创立</w:t>
            </w:r>
            <w:proofErr w:type="gramEnd"/>
            <w:r w:rsidRPr="00F67C18">
              <w:rPr>
                <w:rFonts w:ascii="仿宋" w:eastAsia="仿宋" w:hAnsi="仿宋"/>
                <w:sz w:val="24"/>
              </w:rPr>
              <w:t>于1999年，作为真空光学薄膜镀膜设备领域的综合制造商, “以光学纳米技术为基础，为客户提供完整的光学薄膜镀膜解决方案”为事业理念，致力于对光学薄膜镀膜设备及其工艺的持续研发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F67C18">
              <w:rPr>
                <w:rFonts w:ascii="仿宋" w:eastAsia="仿宋" w:hAnsi="仿宋"/>
                <w:sz w:val="24"/>
              </w:rPr>
              <w:t>生产。</w:t>
            </w:r>
            <w:proofErr w:type="gramStart"/>
            <w:r w:rsidRPr="00F67C18">
              <w:rPr>
                <w:rFonts w:ascii="仿宋" w:eastAsia="仿宋" w:hAnsi="仿宋"/>
                <w:sz w:val="24"/>
              </w:rPr>
              <w:t>日本光驰镀膜</w:t>
            </w:r>
            <w:proofErr w:type="gramEnd"/>
            <w:r w:rsidRPr="00F67C18">
              <w:rPr>
                <w:rFonts w:ascii="仿宋" w:eastAsia="仿宋" w:hAnsi="仿宋"/>
                <w:sz w:val="24"/>
              </w:rPr>
              <w:t>机以其高效性、节能性、环保性、高精度、多功能性、优越的光学性能以及广泛的应用领域等特点，在市场上具有显著的竞争优势。</w:t>
            </w:r>
          </w:p>
          <w:p w14:paraId="7120A8E3" w14:textId="67A1C4F8" w:rsidR="00BE594B" w:rsidRPr="00F67C18" w:rsidRDefault="00BE594B" w:rsidP="00BE594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E594B">
              <w:rPr>
                <w:rFonts w:ascii="仿宋" w:eastAsia="仿宋" w:hAnsi="仿宋"/>
                <w:sz w:val="24"/>
              </w:rPr>
              <w:t>日本光驰公司的镀膜机产品可应用于多种领域，如光通信设备、数码相机、投影仪、触屏手机等。同时，公司还为Apple、Canon、Panasonic等知名企业提供了优质的镀膜设备和服务。</w:t>
            </w:r>
            <w:r>
              <w:rPr>
                <w:rFonts w:ascii="仿宋" w:eastAsia="仿宋" w:hAnsi="仿宋" w:hint="eastAsia"/>
                <w:sz w:val="24"/>
              </w:rPr>
              <w:t>在天文光学领域，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光驰镀膜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机可研制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多款高精度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薄膜元器件，如超窄带滤光片、高性能分色膜等。</w:t>
            </w:r>
          </w:p>
        </w:tc>
      </w:tr>
    </w:tbl>
    <w:p w14:paraId="74BF2476" w14:textId="5B9DE7AF" w:rsidR="0010379B" w:rsidRDefault="00DC7733" w:rsidP="00D51BF5">
      <w:pPr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58294B64" wp14:editId="3ED7106C">
            <wp:extent cx="6248400" cy="8705850"/>
            <wp:effectExtent l="0" t="0" r="0" b="0"/>
            <wp:docPr id="1" name="图片 1" descr="C:\Users\linsu\AppData\Local\Temp\17320036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73200361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065B" w14:textId="1D3E1F9D" w:rsidR="00DC7733" w:rsidRPr="00596348" w:rsidRDefault="00DC7733" w:rsidP="00D51BF5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1DB6D65A" wp14:editId="20740059">
            <wp:extent cx="5753100" cy="8343900"/>
            <wp:effectExtent l="0" t="0" r="0" b="0"/>
            <wp:docPr id="2" name="图片 2" descr="C:\Users\linsu\AppData\Local\Temp\17320036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su\AppData\Local\Temp\173200364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C7733" w:rsidRPr="00596348" w:rsidSect="003D2A17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9DA98" w14:textId="77777777" w:rsidR="00EF63FA" w:rsidRDefault="00EF63FA" w:rsidP="00B26824">
      <w:r>
        <w:separator/>
      </w:r>
    </w:p>
  </w:endnote>
  <w:endnote w:type="continuationSeparator" w:id="0">
    <w:p w14:paraId="0A61D841" w14:textId="77777777" w:rsidR="00EF63FA" w:rsidRDefault="00EF63FA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F6D02" w14:textId="77777777" w:rsidR="00EF63FA" w:rsidRDefault="00EF63FA" w:rsidP="00B26824">
      <w:r>
        <w:separator/>
      </w:r>
    </w:p>
  </w:footnote>
  <w:footnote w:type="continuationSeparator" w:id="0">
    <w:p w14:paraId="6C3A7518" w14:textId="77777777" w:rsidR="00EF63FA" w:rsidRDefault="00EF63FA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091EBB"/>
    <w:multiLevelType w:val="hybridMultilevel"/>
    <w:tmpl w:val="45648D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26CEE"/>
    <w:rsid w:val="0002781B"/>
    <w:rsid w:val="0003477E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A76E6"/>
    <w:rsid w:val="000D75CD"/>
    <w:rsid w:val="000E27E5"/>
    <w:rsid w:val="0010379B"/>
    <w:rsid w:val="0013688A"/>
    <w:rsid w:val="00161159"/>
    <w:rsid w:val="001849EC"/>
    <w:rsid w:val="00186B20"/>
    <w:rsid w:val="00194760"/>
    <w:rsid w:val="001A031D"/>
    <w:rsid w:val="001B5440"/>
    <w:rsid w:val="001B6E3E"/>
    <w:rsid w:val="001C4BC8"/>
    <w:rsid w:val="001D4997"/>
    <w:rsid w:val="001D5F96"/>
    <w:rsid w:val="001E3D59"/>
    <w:rsid w:val="001F3775"/>
    <w:rsid w:val="00217112"/>
    <w:rsid w:val="002208DC"/>
    <w:rsid w:val="00223B9E"/>
    <w:rsid w:val="002275D3"/>
    <w:rsid w:val="00240400"/>
    <w:rsid w:val="0024264A"/>
    <w:rsid w:val="002472F0"/>
    <w:rsid w:val="002510EC"/>
    <w:rsid w:val="0025315D"/>
    <w:rsid w:val="002714B6"/>
    <w:rsid w:val="00284054"/>
    <w:rsid w:val="00292661"/>
    <w:rsid w:val="00293408"/>
    <w:rsid w:val="00296093"/>
    <w:rsid w:val="002A0530"/>
    <w:rsid w:val="002B5A87"/>
    <w:rsid w:val="002C648B"/>
    <w:rsid w:val="002C7E4A"/>
    <w:rsid w:val="002D0114"/>
    <w:rsid w:val="002E09CC"/>
    <w:rsid w:val="002F49F4"/>
    <w:rsid w:val="003037B7"/>
    <w:rsid w:val="00306760"/>
    <w:rsid w:val="00310624"/>
    <w:rsid w:val="003134DB"/>
    <w:rsid w:val="00322A51"/>
    <w:rsid w:val="003449F2"/>
    <w:rsid w:val="00345C1D"/>
    <w:rsid w:val="0035314D"/>
    <w:rsid w:val="00377467"/>
    <w:rsid w:val="003A708A"/>
    <w:rsid w:val="003D2A17"/>
    <w:rsid w:val="003D6B76"/>
    <w:rsid w:val="003D729F"/>
    <w:rsid w:val="004001F2"/>
    <w:rsid w:val="00400C6F"/>
    <w:rsid w:val="004067A8"/>
    <w:rsid w:val="00413096"/>
    <w:rsid w:val="00414FD9"/>
    <w:rsid w:val="00424714"/>
    <w:rsid w:val="004378CD"/>
    <w:rsid w:val="0045130B"/>
    <w:rsid w:val="004536BB"/>
    <w:rsid w:val="00456739"/>
    <w:rsid w:val="00487D87"/>
    <w:rsid w:val="004A230C"/>
    <w:rsid w:val="004B24DD"/>
    <w:rsid w:val="004B4237"/>
    <w:rsid w:val="004B4B1D"/>
    <w:rsid w:val="004B4F83"/>
    <w:rsid w:val="004D279C"/>
    <w:rsid w:val="004D645D"/>
    <w:rsid w:val="004E7B27"/>
    <w:rsid w:val="004F0B47"/>
    <w:rsid w:val="004F1217"/>
    <w:rsid w:val="004F3688"/>
    <w:rsid w:val="005156F1"/>
    <w:rsid w:val="00522C2A"/>
    <w:rsid w:val="00526A3E"/>
    <w:rsid w:val="00527EE8"/>
    <w:rsid w:val="00531466"/>
    <w:rsid w:val="00533E74"/>
    <w:rsid w:val="0054404F"/>
    <w:rsid w:val="00551339"/>
    <w:rsid w:val="005516FB"/>
    <w:rsid w:val="00575D94"/>
    <w:rsid w:val="0059585B"/>
    <w:rsid w:val="00596348"/>
    <w:rsid w:val="00596774"/>
    <w:rsid w:val="005B3B91"/>
    <w:rsid w:val="005B4BC4"/>
    <w:rsid w:val="005C29D1"/>
    <w:rsid w:val="005D1734"/>
    <w:rsid w:val="005E279B"/>
    <w:rsid w:val="006303A1"/>
    <w:rsid w:val="00633B8C"/>
    <w:rsid w:val="006352FE"/>
    <w:rsid w:val="0066571C"/>
    <w:rsid w:val="00672E14"/>
    <w:rsid w:val="00677F21"/>
    <w:rsid w:val="00682162"/>
    <w:rsid w:val="00684086"/>
    <w:rsid w:val="0069093B"/>
    <w:rsid w:val="00690FBF"/>
    <w:rsid w:val="006B0A85"/>
    <w:rsid w:val="006B0EDE"/>
    <w:rsid w:val="006B3C00"/>
    <w:rsid w:val="006C00EA"/>
    <w:rsid w:val="006C336F"/>
    <w:rsid w:val="006C4A1C"/>
    <w:rsid w:val="006D5377"/>
    <w:rsid w:val="006F2C19"/>
    <w:rsid w:val="007018C7"/>
    <w:rsid w:val="00702FEB"/>
    <w:rsid w:val="00710373"/>
    <w:rsid w:val="00717567"/>
    <w:rsid w:val="00725856"/>
    <w:rsid w:val="0073711A"/>
    <w:rsid w:val="00743513"/>
    <w:rsid w:val="0075697D"/>
    <w:rsid w:val="007626EB"/>
    <w:rsid w:val="0076580E"/>
    <w:rsid w:val="00786D42"/>
    <w:rsid w:val="007873A5"/>
    <w:rsid w:val="007916BF"/>
    <w:rsid w:val="007B09B4"/>
    <w:rsid w:val="007C435C"/>
    <w:rsid w:val="007C491F"/>
    <w:rsid w:val="007C501C"/>
    <w:rsid w:val="007C6570"/>
    <w:rsid w:val="007C7806"/>
    <w:rsid w:val="007D731D"/>
    <w:rsid w:val="007E0370"/>
    <w:rsid w:val="007E0426"/>
    <w:rsid w:val="007E53FA"/>
    <w:rsid w:val="007F7BEB"/>
    <w:rsid w:val="00811504"/>
    <w:rsid w:val="00811C01"/>
    <w:rsid w:val="00812815"/>
    <w:rsid w:val="00825225"/>
    <w:rsid w:val="00827925"/>
    <w:rsid w:val="00831854"/>
    <w:rsid w:val="008447FE"/>
    <w:rsid w:val="00846EFF"/>
    <w:rsid w:val="00855876"/>
    <w:rsid w:val="00860C85"/>
    <w:rsid w:val="00871F9D"/>
    <w:rsid w:val="00884458"/>
    <w:rsid w:val="00892F96"/>
    <w:rsid w:val="00894F4F"/>
    <w:rsid w:val="008979A8"/>
    <w:rsid w:val="008A00C4"/>
    <w:rsid w:val="008A78D7"/>
    <w:rsid w:val="008B1DEE"/>
    <w:rsid w:val="008C3919"/>
    <w:rsid w:val="008C75D6"/>
    <w:rsid w:val="008C7CFD"/>
    <w:rsid w:val="008D1150"/>
    <w:rsid w:val="008D2349"/>
    <w:rsid w:val="008D3724"/>
    <w:rsid w:val="008E5F88"/>
    <w:rsid w:val="008F64CF"/>
    <w:rsid w:val="00900E3D"/>
    <w:rsid w:val="00904A81"/>
    <w:rsid w:val="009239CD"/>
    <w:rsid w:val="00937996"/>
    <w:rsid w:val="00943C6C"/>
    <w:rsid w:val="00946581"/>
    <w:rsid w:val="00956EEE"/>
    <w:rsid w:val="00956F95"/>
    <w:rsid w:val="00957911"/>
    <w:rsid w:val="00957954"/>
    <w:rsid w:val="00966A53"/>
    <w:rsid w:val="0096753D"/>
    <w:rsid w:val="0096792F"/>
    <w:rsid w:val="00971381"/>
    <w:rsid w:val="0098430F"/>
    <w:rsid w:val="00990D78"/>
    <w:rsid w:val="00994AB4"/>
    <w:rsid w:val="009A6270"/>
    <w:rsid w:val="009A6DC7"/>
    <w:rsid w:val="009B3216"/>
    <w:rsid w:val="009C3DF3"/>
    <w:rsid w:val="009C560C"/>
    <w:rsid w:val="009D11FD"/>
    <w:rsid w:val="009D19F7"/>
    <w:rsid w:val="009E216F"/>
    <w:rsid w:val="009E2199"/>
    <w:rsid w:val="009F118B"/>
    <w:rsid w:val="00A07167"/>
    <w:rsid w:val="00A1143C"/>
    <w:rsid w:val="00A21CF6"/>
    <w:rsid w:val="00A2392B"/>
    <w:rsid w:val="00A30B43"/>
    <w:rsid w:val="00A325D3"/>
    <w:rsid w:val="00A46BE5"/>
    <w:rsid w:val="00A5669D"/>
    <w:rsid w:val="00A6069B"/>
    <w:rsid w:val="00A613A7"/>
    <w:rsid w:val="00A71A95"/>
    <w:rsid w:val="00A77533"/>
    <w:rsid w:val="00A92D22"/>
    <w:rsid w:val="00AA1A30"/>
    <w:rsid w:val="00AA66D2"/>
    <w:rsid w:val="00AA67AC"/>
    <w:rsid w:val="00AB1715"/>
    <w:rsid w:val="00AE6C89"/>
    <w:rsid w:val="00AF4A65"/>
    <w:rsid w:val="00AF55EE"/>
    <w:rsid w:val="00AF696B"/>
    <w:rsid w:val="00B05A9F"/>
    <w:rsid w:val="00B26824"/>
    <w:rsid w:val="00B51D30"/>
    <w:rsid w:val="00B60F6C"/>
    <w:rsid w:val="00B626B7"/>
    <w:rsid w:val="00B758FA"/>
    <w:rsid w:val="00B80A41"/>
    <w:rsid w:val="00B9064F"/>
    <w:rsid w:val="00B90BE9"/>
    <w:rsid w:val="00BA4D5D"/>
    <w:rsid w:val="00BA7840"/>
    <w:rsid w:val="00BB0970"/>
    <w:rsid w:val="00BB14B8"/>
    <w:rsid w:val="00BB4DCE"/>
    <w:rsid w:val="00BC76B1"/>
    <w:rsid w:val="00BD0F92"/>
    <w:rsid w:val="00BE248C"/>
    <w:rsid w:val="00BE594B"/>
    <w:rsid w:val="00BF599D"/>
    <w:rsid w:val="00BF59C3"/>
    <w:rsid w:val="00C05E3C"/>
    <w:rsid w:val="00C1175A"/>
    <w:rsid w:val="00C432BB"/>
    <w:rsid w:val="00C441CC"/>
    <w:rsid w:val="00C44206"/>
    <w:rsid w:val="00C46F08"/>
    <w:rsid w:val="00C479ED"/>
    <w:rsid w:val="00C51E1A"/>
    <w:rsid w:val="00C53E82"/>
    <w:rsid w:val="00C61098"/>
    <w:rsid w:val="00C639B1"/>
    <w:rsid w:val="00C84694"/>
    <w:rsid w:val="00C91D65"/>
    <w:rsid w:val="00C9617E"/>
    <w:rsid w:val="00CA60E7"/>
    <w:rsid w:val="00CB03DD"/>
    <w:rsid w:val="00CB1485"/>
    <w:rsid w:val="00CC14E3"/>
    <w:rsid w:val="00CC2A08"/>
    <w:rsid w:val="00CE0472"/>
    <w:rsid w:val="00CE236E"/>
    <w:rsid w:val="00D23289"/>
    <w:rsid w:val="00D31498"/>
    <w:rsid w:val="00D324CC"/>
    <w:rsid w:val="00D51BF5"/>
    <w:rsid w:val="00D52179"/>
    <w:rsid w:val="00D66538"/>
    <w:rsid w:val="00D66ED9"/>
    <w:rsid w:val="00D67853"/>
    <w:rsid w:val="00D76713"/>
    <w:rsid w:val="00D92360"/>
    <w:rsid w:val="00D933FA"/>
    <w:rsid w:val="00D96071"/>
    <w:rsid w:val="00DA0D7A"/>
    <w:rsid w:val="00DA514C"/>
    <w:rsid w:val="00DA772C"/>
    <w:rsid w:val="00DB4D56"/>
    <w:rsid w:val="00DB6DE3"/>
    <w:rsid w:val="00DB72F3"/>
    <w:rsid w:val="00DB79B3"/>
    <w:rsid w:val="00DB7D86"/>
    <w:rsid w:val="00DC7733"/>
    <w:rsid w:val="00DD0BBB"/>
    <w:rsid w:val="00DE1E43"/>
    <w:rsid w:val="00DE41B3"/>
    <w:rsid w:val="00DE5664"/>
    <w:rsid w:val="00E066E6"/>
    <w:rsid w:val="00E06EE2"/>
    <w:rsid w:val="00E1471B"/>
    <w:rsid w:val="00E22DB9"/>
    <w:rsid w:val="00E231EB"/>
    <w:rsid w:val="00E23D99"/>
    <w:rsid w:val="00E26233"/>
    <w:rsid w:val="00E3734F"/>
    <w:rsid w:val="00E40B23"/>
    <w:rsid w:val="00E562C9"/>
    <w:rsid w:val="00E67690"/>
    <w:rsid w:val="00E74714"/>
    <w:rsid w:val="00E86D93"/>
    <w:rsid w:val="00E90E5F"/>
    <w:rsid w:val="00EC1060"/>
    <w:rsid w:val="00EC24F0"/>
    <w:rsid w:val="00EC5D18"/>
    <w:rsid w:val="00EC6501"/>
    <w:rsid w:val="00ED0928"/>
    <w:rsid w:val="00ED391E"/>
    <w:rsid w:val="00EE38CC"/>
    <w:rsid w:val="00EE5CD8"/>
    <w:rsid w:val="00EF63FA"/>
    <w:rsid w:val="00F07F64"/>
    <w:rsid w:val="00F24456"/>
    <w:rsid w:val="00F4364D"/>
    <w:rsid w:val="00F5003A"/>
    <w:rsid w:val="00F610FF"/>
    <w:rsid w:val="00F67B20"/>
    <w:rsid w:val="00F67C18"/>
    <w:rsid w:val="00F73004"/>
    <w:rsid w:val="00F95C67"/>
    <w:rsid w:val="00FA7975"/>
    <w:rsid w:val="00FB0093"/>
    <w:rsid w:val="00FC021E"/>
    <w:rsid w:val="00FE0A63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linsu</dc:creator>
  <cp:lastModifiedBy>NTKO</cp:lastModifiedBy>
  <cp:revision>19</cp:revision>
  <cp:lastPrinted>2024-04-28T09:30:00Z</cp:lastPrinted>
  <dcterms:created xsi:type="dcterms:W3CDTF">2024-11-17T14:48:00Z</dcterms:created>
  <dcterms:modified xsi:type="dcterms:W3CDTF">2024-11-19T08:07:00Z</dcterms:modified>
</cp:coreProperties>
</file>